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12" w:lineRule="auto"/>
        <w:jc w:val="center"/>
        <w:rPr>
          <w:rFonts w:ascii="宋体" w:hAnsi="宋体" w:eastAsia="宋体"/>
          <w:b/>
          <w:bCs/>
          <w:sz w:val="32"/>
          <w:szCs w:val="32"/>
        </w:rPr>
      </w:pPr>
      <w:r>
        <w:rPr>
          <w:rFonts w:ascii="宋体" w:hAnsi="宋体" w:eastAsia="宋体"/>
          <w:b/>
          <w:bCs/>
          <w:sz w:val="32"/>
          <w:szCs w:val="32"/>
        </w:rPr>
        <w:t>商学院</w:t>
      </w:r>
      <w:r>
        <w:rPr>
          <w:rFonts w:hint="eastAsia" w:ascii="宋体" w:hAnsi="宋体" w:eastAsia="宋体"/>
          <w:b/>
          <w:bCs/>
          <w:sz w:val="32"/>
          <w:szCs w:val="32"/>
        </w:rPr>
        <w:t>会计</w:t>
      </w:r>
      <w:r>
        <w:rPr>
          <w:rFonts w:ascii="宋体" w:hAnsi="宋体" w:eastAsia="宋体"/>
          <w:b/>
          <w:bCs/>
          <w:sz w:val="32"/>
          <w:szCs w:val="32"/>
        </w:rPr>
        <w:t>系硕士研究生毕业论文线上答辩公告</w:t>
      </w:r>
    </w:p>
    <w:tbl>
      <w:tblPr>
        <w:tblStyle w:val="5"/>
        <w:tblW w:w="13965" w:type="dxa"/>
        <w:jc w:val="center"/>
        <w:tblInd w:w="38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0"/>
        <w:gridCol w:w="1185"/>
        <w:gridCol w:w="1200"/>
        <w:gridCol w:w="5588"/>
        <w:gridCol w:w="2040"/>
        <w:gridCol w:w="1222"/>
        <w:gridCol w:w="13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3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312" w:lineRule="auto"/>
              <w:jc w:val="center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ascii="宋体" w:hAnsi="宋体" w:eastAsia="宋体"/>
                <w:b/>
                <w:bCs/>
                <w:sz w:val="24"/>
                <w:szCs w:val="24"/>
              </w:rPr>
              <w:t>答辩时间</w:t>
            </w:r>
          </w:p>
        </w:tc>
        <w:tc>
          <w:tcPr>
            <w:tcW w:w="11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312" w:lineRule="auto"/>
              <w:jc w:val="center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ascii="宋体" w:hAnsi="宋体" w:eastAsia="宋体"/>
                <w:b/>
                <w:bCs/>
                <w:sz w:val="24"/>
                <w:szCs w:val="24"/>
              </w:rPr>
              <w:t>答辩人</w:t>
            </w:r>
          </w:p>
        </w:tc>
        <w:tc>
          <w:tcPr>
            <w:tcW w:w="12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312" w:lineRule="auto"/>
              <w:jc w:val="center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ascii="宋体" w:hAnsi="宋体" w:eastAsia="宋体"/>
                <w:b/>
                <w:bCs/>
                <w:sz w:val="24"/>
                <w:szCs w:val="24"/>
              </w:rPr>
              <w:t>指导教师</w:t>
            </w:r>
          </w:p>
        </w:tc>
        <w:tc>
          <w:tcPr>
            <w:tcW w:w="5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312" w:lineRule="auto"/>
              <w:jc w:val="center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ascii="宋体" w:hAnsi="宋体" w:eastAsia="宋体"/>
                <w:b/>
                <w:bCs/>
                <w:sz w:val="24"/>
                <w:szCs w:val="24"/>
              </w:rPr>
              <w:t>论文题目</w:t>
            </w:r>
          </w:p>
        </w:tc>
        <w:tc>
          <w:tcPr>
            <w:tcW w:w="20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312" w:lineRule="auto"/>
              <w:jc w:val="center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ascii="宋体" w:hAnsi="宋体" w:eastAsia="宋体"/>
                <w:b/>
                <w:bCs/>
                <w:sz w:val="24"/>
                <w:szCs w:val="24"/>
              </w:rPr>
              <w:t>答辩委员会委员</w:t>
            </w:r>
          </w:p>
        </w:tc>
        <w:tc>
          <w:tcPr>
            <w:tcW w:w="12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312" w:lineRule="auto"/>
              <w:jc w:val="center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ascii="宋体" w:hAnsi="宋体" w:eastAsia="宋体"/>
                <w:b/>
                <w:bCs/>
                <w:sz w:val="24"/>
                <w:szCs w:val="24"/>
              </w:rPr>
              <w:t>答辩秘书</w:t>
            </w:r>
          </w:p>
        </w:tc>
        <w:tc>
          <w:tcPr>
            <w:tcW w:w="13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312" w:lineRule="auto"/>
              <w:jc w:val="center"/>
              <w:rPr>
                <w:rFonts w:hint="eastAsia" w:ascii="宋体" w:hAnsi="宋体" w:eastAsia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/>
                <w:b/>
                <w:bCs/>
                <w:sz w:val="24"/>
                <w:szCs w:val="24"/>
              </w:rPr>
              <w:t>答辩平台</w:t>
            </w:r>
            <w:r>
              <w:rPr>
                <w:rFonts w:hint="eastAsia" w:ascii="宋体" w:hAnsi="宋体" w:eastAsia="宋体"/>
                <w:b/>
                <w:bCs/>
                <w:sz w:val="24"/>
                <w:szCs w:val="24"/>
                <w:lang w:eastAsia="zh-CN"/>
              </w:rPr>
              <w:t>及地点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35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312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5月30日8：30</w:t>
            </w:r>
          </w:p>
        </w:tc>
        <w:tc>
          <w:tcPr>
            <w:tcW w:w="11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312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尚琳璐</w:t>
            </w:r>
          </w:p>
        </w:tc>
        <w:tc>
          <w:tcPr>
            <w:tcW w:w="12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312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梅丹</w:t>
            </w:r>
          </w:p>
        </w:tc>
        <w:tc>
          <w:tcPr>
            <w:tcW w:w="5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312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成为融券卖空标的对上市公司违规行为的影响研究</w:t>
            </w:r>
          </w:p>
        </w:tc>
        <w:tc>
          <w:tcPr>
            <w:tcW w:w="204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312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张继勋</w:t>
            </w: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，</w:t>
            </w:r>
            <w:r>
              <w:rPr>
                <w:rFonts w:ascii="宋体" w:hAnsi="宋体" w:eastAsia="宋体"/>
                <w:sz w:val="24"/>
                <w:szCs w:val="24"/>
              </w:rPr>
              <w:t>程新生</w:t>
            </w: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，</w:t>
            </w:r>
            <w:r>
              <w:rPr>
                <w:rFonts w:ascii="宋体" w:hAnsi="宋体" w:eastAsia="宋体"/>
                <w:sz w:val="24"/>
                <w:szCs w:val="24"/>
              </w:rPr>
              <w:t>梅丹</w:t>
            </w: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边泓</w:t>
            </w:r>
          </w:p>
          <w:p>
            <w:pPr>
              <w:spacing w:line="312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222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312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李方晗</w:t>
            </w:r>
          </w:p>
          <w:p>
            <w:pPr>
              <w:spacing w:line="312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张佳惠</w:t>
            </w:r>
          </w:p>
        </w:tc>
        <w:tc>
          <w:tcPr>
            <w:tcW w:w="1380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312" w:lineRule="auto"/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腾讯会议</w:t>
            </w:r>
          </w:p>
          <w:p>
            <w:pPr>
              <w:spacing w:line="312" w:lineRule="auto"/>
              <w:jc w:val="center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商学</w:t>
            </w:r>
            <w:bookmarkStart w:id="0" w:name="_GoBack"/>
            <w:bookmarkEnd w:id="0"/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院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420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35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312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312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金楚</w:t>
            </w:r>
          </w:p>
        </w:tc>
        <w:tc>
          <w:tcPr>
            <w:tcW w:w="12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312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程新生</w:t>
            </w:r>
          </w:p>
        </w:tc>
        <w:tc>
          <w:tcPr>
            <w:tcW w:w="5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312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股权激励、董事会治理与企业创新</w:t>
            </w:r>
          </w:p>
        </w:tc>
        <w:tc>
          <w:tcPr>
            <w:tcW w:w="204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312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222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312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38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312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5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312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312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陶逸</w:t>
            </w:r>
          </w:p>
        </w:tc>
        <w:tc>
          <w:tcPr>
            <w:tcW w:w="12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312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程新生</w:t>
            </w:r>
          </w:p>
        </w:tc>
        <w:tc>
          <w:tcPr>
            <w:tcW w:w="5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312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企业薪酬差距能促进创新产出吗？—以创业板上市公司为例</w:t>
            </w:r>
          </w:p>
        </w:tc>
        <w:tc>
          <w:tcPr>
            <w:tcW w:w="204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312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222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312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38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312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35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312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312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王涵</w:t>
            </w:r>
          </w:p>
        </w:tc>
        <w:tc>
          <w:tcPr>
            <w:tcW w:w="12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312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程新生</w:t>
            </w:r>
          </w:p>
        </w:tc>
        <w:tc>
          <w:tcPr>
            <w:tcW w:w="5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312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总经理与董事长间的老乡关系对企业创新绩效的影响研究</w:t>
            </w:r>
          </w:p>
        </w:tc>
        <w:tc>
          <w:tcPr>
            <w:tcW w:w="204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312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222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312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38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312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35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312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312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王轶超</w:t>
            </w:r>
          </w:p>
        </w:tc>
        <w:tc>
          <w:tcPr>
            <w:tcW w:w="12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312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梅丹</w:t>
            </w:r>
          </w:p>
        </w:tc>
        <w:tc>
          <w:tcPr>
            <w:tcW w:w="5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312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两权分离、股权制衡与高管私有收益——基于2008-2017年并购交易的研究</w:t>
            </w:r>
          </w:p>
        </w:tc>
        <w:tc>
          <w:tcPr>
            <w:tcW w:w="204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312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222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312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38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312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35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312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312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杨晓萍</w:t>
            </w:r>
          </w:p>
        </w:tc>
        <w:tc>
          <w:tcPr>
            <w:tcW w:w="12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312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程新生</w:t>
            </w:r>
          </w:p>
        </w:tc>
        <w:tc>
          <w:tcPr>
            <w:tcW w:w="5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312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CEO创新激励、风险偏好与企业创新</w:t>
            </w:r>
          </w:p>
        </w:tc>
        <w:tc>
          <w:tcPr>
            <w:tcW w:w="204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312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222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312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38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312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35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312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312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赵梦然</w:t>
            </w:r>
          </w:p>
        </w:tc>
        <w:tc>
          <w:tcPr>
            <w:tcW w:w="12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312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梅丹</w:t>
            </w:r>
          </w:p>
        </w:tc>
        <w:tc>
          <w:tcPr>
            <w:tcW w:w="5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312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资产减值估计对内部控制审计收费影响研究</w:t>
            </w:r>
          </w:p>
        </w:tc>
        <w:tc>
          <w:tcPr>
            <w:tcW w:w="204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312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222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312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38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312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35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312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312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滕斐</w:t>
            </w:r>
          </w:p>
        </w:tc>
        <w:tc>
          <w:tcPr>
            <w:tcW w:w="12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312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程新生</w:t>
            </w:r>
          </w:p>
        </w:tc>
        <w:tc>
          <w:tcPr>
            <w:tcW w:w="5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312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CEO自恋、会计信息透明度与企业价值</w:t>
            </w:r>
          </w:p>
        </w:tc>
        <w:tc>
          <w:tcPr>
            <w:tcW w:w="204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312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222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312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38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312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350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312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5月30日8：30</w:t>
            </w:r>
          </w:p>
        </w:tc>
        <w:tc>
          <w:tcPr>
            <w:tcW w:w="11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312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程君</w:t>
            </w:r>
          </w:p>
        </w:tc>
        <w:tc>
          <w:tcPr>
            <w:tcW w:w="12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312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刘志远</w:t>
            </w:r>
          </w:p>
        </w:tc>
        <w:tc>
          <w:tcPr>
            <w:tcW w:w="5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312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核心技术员工股权激励对企业创新产出影响研究</w:t>
            </w:r>
          </w:p>
        </w:tc>
        <w:tc>
          <w:tcPr>
            <w:tcW w:w="2040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312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刘志远</w:t>
            </w: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，</w:t>
            </w:r>
            <w:r>
              <w:rPr>
                <w:rFonts w:ascii="宋体" w:hAnsi="宋体" w:eastAsia="宋体"/>
                <w:sz w:val="24"/>
                <w:szCs w:val="24"/>
              </w:rPr>
              <w:t>姚颐</w:t>
            </w: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，</w:t>
            </w:r>
            <w:r>
              <w:rPr>
                <w:rFonts w:ascii="宋体" w:hAnsi="宋体" w:eastAsia="宋体"/>
                <w:sz w:val="24"/>
                <w:szCs w:val="24"/>
              </w:rPr>
              <w:t>王志红</w:t>
            </w: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李元</w:t>
            </w:r>
          </w:p>
        </w:tc>
        <w:tc>
          <w:tcPr>
            <w:tcW w:w="1222" w:type="dxa"/>
            <w:vMerge w:val="restart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312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凌玥</w:t>
            </w:r>
          </w:p>
          <w:p>
            <w:pPr>
              <w:spacing w:line="312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杨琴</w:t>
            </w:r>
          </w:p>
        </w:tc>
        <w:tc>
          <w:tcPr>
            <w:tcW w:w="1380" w:type="dxa"/>
            <w:vMerge w:val="restart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312" w:lineRule="auto"/>
              <w:jc w:val="center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腾讯会议</w:t>
            </w:r>
          </w:p>
          <w:p>
            <w:pPr>
              <w:spacing w:line="312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商学院421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3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312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312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刘碧</w:t>
            </w:r>
          </w:p>
        </w:tc>
        <w:tc>
          <w:tcPr>
            <w:tcW w:w="12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312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刘志远</w:t>
            </w:r>
          </w:p>
        </w:tc>
        <w:tc>
          <w:tcPr>
            <w:tcW w:w="5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312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高管持股，机构投资者与企业创新投入</w:t>
            </w:r>
          </w:p>
        </w:tc>
        <w:tc>
          <w:tcPr>
            <w:tcW w:w="204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312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222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312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38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312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3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312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312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马丽</w:t>
            </w:r>
          </w:p>
        </w:tc>
        <w:tc>
          <w:tcPr>
            <w:tcW w:w="12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312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姚颐</w:t>
            </w:r>
          </w:p>
        </w:tc>
        <w:tc>
          <w:tcPr>
            <w:tcW w:w="5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312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CFO权力与企业节税程yi度</w:t>
            </w:r>
          </w:p>
        </w:tc>
        <w:tc>
          <w:tcPr>
            <w:tcW w:w="204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312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222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312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38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312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3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312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312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王婧宇</w:t>
            </w:r>
          </w:p>
        </w:tc>
        <w:tc>
          <w:tcPr>
            <w:tcW w:w="12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312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王志红</w:t>
            </w:r>
          </w:p>
        </w:tc>
        <w:tc>
          <w:tcPr>
            <w:tcW w:w="5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312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股权激励对非效率投资的长期效应研究</w:t>
            </w:r>
          </w:p>
        </w:tc>
        <w:tc>
          <w:tcPr>
            <w:tcW w:w="204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312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222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312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38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312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3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312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312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张艺</w:t>
            </w:r>
          </w:p>
        </w:tc>
        <w:tc>
          <w:tcPr>
            <w:tcW w:w="12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312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王志红</w:t>
            </w:r>
          </w:p>
        </w:tc>
        <w:tc>
          <w:tcPr>
            <w:tcW w:w="5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312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管理者过度自信、机构投资者与并购溢价</w:t>
            </w:r>
          </w:p>
        </w:tc>
        <w:tc>
          <w:tcPr>
            <w:tcW w:w="204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312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222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312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38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312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35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312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312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闫崇达</w:t>
            </w:r>
          </w:p>
        </w:tc>
        <w:tc>
          <w:tcPr>
            <w:tcW w:w="12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312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刘志远</w:t>
            </w:r>
          </w:p>
        </w:tc>
        <w:tc>
          <w:tcPr>
            <w:tcW w:w="5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312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经济政策不确定性与企业风险承担-基于投资机会与股权激励的调节作用分析</w:t>
            </w:r>
          </w:p>
        </w:tc>
        <w:tc>
          <w:tcPr>
            <w:tcW w:w="204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312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222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312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38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312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350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312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5月30日8：30</w:t>
            </w:r>
          </w:p>
        </w:tc>
        <w:tc>
          <w:tcPr>
            <w:tcW w:w="11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312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王舟</w:t>
            </w:r>
          </w:p>
        </w:tc>
        <w:tc>
          <w:tcPr>
            <w:tcW w:w="12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312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陆宇建</w:t>
            </w:r>
          </w:p>
        </w:tc>
        <w:tc>
          <w:tcPr>
            <w:tcW w:w="5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312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相对技术差异、内外部R&amp;D对创新绩效的影响研究</w:t>
            </w:r>
          </w:p>
        </w:tc>
        <w:tc>
          <w:tcPr>
            <w:tcW w:w="2040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312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李姝</w:t>
            </w: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，</w:t>
            </w:r>
            <w:r>
              <w:rPr>
                <w:rFonts w:ascii="宋体" w:hAnsi="宋体" w:eastAsia="宋体"/>
                <w:sz w:val="24"/>
                <w:szCs w:val="24"/>
              </w:rPr>
              <w:t>周宝源</w:t>
            </w: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，</w:t>
            </w:r>
            <w:r>
              <w:rPr>
                <w:rFonts w:ascii="宋体" w:hAnsi="宋体" w:eastAsia="宋体"/>
                <w:sz w:val="24"/>
                <w:szCs w:val="24"/>
              </w:rPr>
              <w:t>陆宇建</w:t>
            </w: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宗先臻</w:t>
            </w:r>
          </w:p>
        </w:tc>
        <w:tc>
          <w:tcPr>
            <w:tcW w:w="1222" w:type="dxa"/>
            <w:vMerge w:val="restart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312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田妍然</w:t>
            </w:r>
          </w:p>
          <w:p>
            <w:pPr>
              <w:spacing w:line="312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耿嘉敏</w:t>
            </w:r>
          </w:p>
        </w:tc>
        <w:tc>
          <w:tcPr>
            <w:tcW w:w="1380" w:type="dxa"/>
            <w:vMerge w:val="restart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312" w:lineRule="auto"/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腾讯会议</w:t>
            </w:r>
          </w:p>
          <w:p>
            <w:pPr>
              <w:spacing w:line="312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商学院A601-1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3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312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312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郝亚楠</w:t>
            </w:r>
          </w:p>
        </w:tc>
        <w:tc>
          <w:tcPr>
            <w:tcW w:w="12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312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李姝</w:t>
            </w:r>
          </w:p>
        </w:tc>
        <w:tc>
          <w:tcPr>
            <w:tcW w:w="5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312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客户集中度与业绩预告披露意愿研究</w:t>
            </w:r>
          </w:p>
        </w:tc>
        <w:tc>
          <w:tcPr>
            <w:tcW w:w="204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312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222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312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38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312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3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312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312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汤悦</w:t>
            </w:r>
          </w:p>
        </w:tc>
        <w:tc>
          <w:tcPr>
            <w:tcW w:w="12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312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李姝</w:t>
            </w:r>
          </w:p>
        </w:tc>
        <w:tc>
          <w:tcPr>
            <w:tcW w:w="5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312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证券交易所问询监管对上市公司盈余管理的影响研究</w:t>
            </w:r>
          </w:p>
        </w:tc>
        <w:tc>
          <w:tcPr>
            <w:tcW w:w="204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312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222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312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38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312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3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312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312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袁子茵</w:t>
            </w:r>
          </w:p>
        </w:tc>
        <w:tc>
          <w:tcPr>
            <w:tcW w:w="12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312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周宝源</w:t>
            </w:r>
          </w:p>
        </w:tc>
        <w:tc>
          <w:tcPr>
            <w:tcW w:w="5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312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控股股东股权质押、会计信息质量与股价同步性</w:t>
            </w:r>
          </w:p>
        </w:tc>
        <w:tc>
          <w:tcPr>
            <w:tcW w:w="204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312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222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312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38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312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3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312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312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王睿</w:t>
            </w:r>
          </w:p>
        </w:tc>
        <w:tc>
          <w:tcPr>
            <w:tcW w:w="12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312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周宝源</w:t>
            </w:r>
          </w:p>
        </w:tc>
        <w:tc>
          <w:tcPr>
            <w:tcW w:w="5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312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股权融资约束、营商环境与中小企业创新-基于中小板上市公司的经验研究</w:t>
            </w:r>
          </w:p>
        </w:tc>
        <w:tc>
          <w:tcPr>
            <w:tcW w:w="204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312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222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312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38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312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3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312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312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马蕊</w:t>
            </w:r>
          </w:p>
        </w:tc>
        <w:tc>
          <w:tcPr>
            <w:tcW w:w="12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312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陆宇建</w:t>
            </w:r>
          </w:p>
        </w:tc>
        <w:tc>
          <w:tcPr>
            <w:tcW w:w="5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312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公司债券违约的行业效应研究</w:t>
            </w:r>
          </w:p>
        </w:tc>
        <w:tc>
          <w:tcPr>
            <w:tcW w:w="204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312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222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312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38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312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3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12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spacing w:line="312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夏艳</w:t>
            </w:r>
          </w:p>
        </w:tc>
        <w:tc>
          <w:tcPr>
            <w:tcW w:w="1200" w:type="dxa"/>
            <w:vAlign w:val="center"/>
          </w:tcPr>
          <w:p>
            <w:pPr>
              <w:spacing w:line="312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陆宇建</w:t>
            </w:r>
          </w:p>
        </w:tc>
        <w:tc>
          <w:tcPr>
            <w:tcW w:w="5588" w:type="dxa"/>
            <w:vAlign w:val="center"/>
          </w:tcPr>
          <w:p>
            <w:pPr>
              <w:spacing w:line="312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资管新规对企业融资约束的影响研究</w:t>
            </w:r>
          </w:p>
        </w:tc>
        <w:tc>
          <w:tcPr>
            <w:tcW w:w="204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12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222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12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38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12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</w:tbl>
    <w:p>
      <w:pPr>
        <w:spacing w:line="312" w:lineRule="auto"/>
        <w:jc w:val="center"/>
        <w:rPr>
          <w:rFonts w:ascii="宋体" w:hAnsi="宋体" w:eastAsia="宋体"/>
          <w:b/>
          <w:bCs/>
          <w:sz w:val="32"/>
          <w:szCs w:val="32"/>
        </w:rPr>
      </w:pPr>
    </w:p>
    <w:sectPr>
      <w:pgSz w:w="16838" w:h="11906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C1A"/>
    <w:rsid w:val="000C51B7"/>
    <w:rsid w:val="001148BA"/>
    <w:rsid w:val="00216EB9"/>
    <w:rsid w:val="004442EA"/>
    <w:rsid w:val="0059531B"/>
    <w:rsid w:val="00616505"/>
    <w:rsid w:val="0062213C"/>
    <w:rsid w:val="00633F40"/>
    <w:rsid w:val="006549AD"/>
    <w:rsid w:val="00684D9C"/>
    <w:rsid w:val="00A60633"/>
    <w:rsid w:val="00BA0C1A"/>
    <w:rsid w:val="00C061CB"/>
    <w:rsid w:val="00C604EC"/>
    <w:rsid w:val="00D72DCA"/>
    <w:rsid w:val="00E26251"/>
    <w:rsid w:val="00EA1EE8"/>
    <w:rsid w:val="00F53662"/>
    <w:rsid w:val="083D07F0"/>
    <w:rsid w:val="105E3B74"/>
    <w:rsid w:val="1C2C4424"/>
    <w:rsid w:val="1CD54CE6"/>
    <w:rsid w:val="1DEC38DC"/>
    <w:rsid w:val="23C33BEA"/>
    <w:rsid w:val="30456175"/>
    <w:rsid w:val="36772279"/>
    <w:rsid w:val="434067C1"/>
    <w:rsid w:val="568D20C3"/>
    <w:rsid w:val="68EE76CD"/>
    <w:rsid w:val="6D2A5633"/>
    <w:rsid w:val="6EAF13B0"/>
    <w:rsid w:val="71061E72"/>
    <w:rsid w:val="79C12AEC"/>
    <w:rsid w:val="7A3B2499"/>
    <w:rsid w:val="7F821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字符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semiHidden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ns10="http://schemas.openxmlformats.org/schemaLibrary/2006/main" xmlns:wne="http://schemas.microsoft.com/office/word/2006/wordml" xmlns:c="http://schemas.openxmlformats.org/drawingml/2006/chart" xmlns:ns13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20="urn:schemas-microsoft-com:office:excel" xmlns:w10="urn:schemas-microsoft-com:office:word" xmlns:ns22="urn:schemas-microsoft-com:office:powerpoint" xmlns:ns24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etp="http://schemas.microsoft.com/office/webextensions/taskpanes/2010/11" xmlns:we="http://schemas.microsoft.com/office/webextensions/webextension/2010/11" xmlns:ns34="http://schemas.openxmlformats.org/drawingml/2006/compatibility" xmlns:ns35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8A64C66-2E89-4A45-BBF8-9204E240E5D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134</Words>
  <Characters>764</Characters>
  <Lines>6</Lines>
  <Paragraphs>1</Paragraphs>
  <TotalTime>3</TotalTime>
  <ScaleCrop>false</ScaleCrop>
  <LinksUpToDate>false</LinksUpToDate>
  <CharactersWithSpaces>897</CharactersWithSpaces>
  <Application>WPS Office_11.3.0.8775_F1E327BC-269C-435d-A152-05C5408002CA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2017-01-10T09:10:00Z</dcterms:created>
  <dc:creator>Tencent</dc:creator>
  <cp:lastModifiedBy>Administrator</cp:lastModifiedBy>
  <dcterms:modified xsi:type="dcterms:W3CDTF">2020-05-23T04:11:51Z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